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A2021" w14:textId="77777777" w:rsidR="0054665E" w:rsidRPr="0054665E" w:rsidRDefault="0054665E" w:rsidP="0054665E">
      <w:pPr>
        <w:pStyle w:val="NormalParagraphStyle"/>
        <w:suppressAutoHyphens w:val="0"/>
        <w:spacing w:line="276" w:lineRule="auto"/>
        <w:rPr>
          <w:rFonts w:asciiTheme="majorHAnsi" w:eastAsia="Futura-Book" w:hAnsiTheme="majorHAnsi" w:cstheme="majorHAnsi"/>
          <w:sz w:val="22"/>
          <w:szCs w:val="22"/>
        </w:rPr>
      </w:pPr>
      <w:r w:rsidRPr="0054665E">
        <w:rPr>
          <w:rFonts w:asciiTheme="majorHAnsi" w:eastAsia="Futura-Book" w:hAnsiTheme="majorHAnsi" w:cstheme="majorHAnsi"/>
          <w:sz w:val="22"/>
          <w:szCs w:val="22"/>
        </w:rPr>
        <w:t>Lindlar, 12.09.2022</w:t>
      </w:r>
    </w:p>
    <w:p w14:paraId="112F708D" w14:textId="77777777" w:rsidR="0054665E" w:rsidRPr="0054665E" w:rsidRDefault="0054665E" w:rsidP="0054665E">
      <w:pPr>
        <w:pStyle w:val="NormalParagraphStyle"/>
        <w:suppressAutoHyphens w:val="0"/>
        <w:spacing w:line="276" w:lineRule="auto"/>
        <w:rPr>
          <w:rFonts w:asciiTheme="majorHAnsi" w:hAnsiTheme="majorHAnsi" w:cstheme="majorHAnsi"/>
          <w:sz w:val="22"/>
          <w:szCs w:val="22"/>
        </w:rPr>
      </w:pPr>
    </w:p>
    <w:p w14:paraId="63FD8D8A" w14:textId="77777777" w:rsidR="0054665E" w:rsidRPr="0054665E" w:rsidRDefault="0054665E" w:rsidP="0054665E">
      <w:pPr>
        <w:spacing w:line="276" w:lineRule="auto"/>
        <w:rPr>
          <w:rFonts w:asciiTheme="minorHAnsi" w:hAnsiTheme="minorHAnsi" w:cstheme="minorHAnsi"/>
          <w:b/>
          <w:bCs/>
        </w:rPr>
      </w:pPr>
      <w:r w:rsidRPr="0054665E">
        <w:rPr>
          <w:rFonts w:asciiTheme="minorHAnsi" w:hAnsiTheme="minorHAnsi" w:cstheme="minorHAnsi"/>
          <w:b/>
          <w:bCs/>
          <w:sz w:val="36"/>
          <w:szCs w:val="36"/>
        </w:rPr>
        <w:t>B.E.G. DALI-LINK</w:t>
      </w:r>
      <w:r w:rsidRPr="0054665E">
        <w:rPr>
          <w:rFonts w:asciiTheme="minorHAnsi" w:hAnsiTheme="minorHAnsi" w:cstheme="minorHAnsi"/>
          <w:b/>
          <w:bCs/>
        </w:rPr>
        <w:br/>
      </w:r>
      <w:r w:rsidRPr="0054665E">
        <w:rPr>
          <w:rFonts w:asciiTheme="minorHAnsi" w:hAnsiTheme="minorHAnsi" w:cstheme="minorHAnsi"/>
          <w:b/>
          <w:bCs/>
          <w:sz w:val="28"/>
          <w:szCs w:val="28"/>
        </w:rPr>
        <w:t>Die flexible, einfache und komfortable Beleuchtungslösung</w:t>
      </w:r>
    </w:p>
    <w:p w14:paraId="112BC971" w14:textId="77777777" w:rsidR="0054665E" w:rsidRPr="0054665E" w:rsidRDefault="0054665E" w:rsidP="0054665E">
      <w:pPr>
        <w:spacing w:line="276" w:lineRule="auto"/>
        <w:rPr>
          <w:rFonts w:asciiTheme="majorHAnsi" w:hAnsiTheme="majorHAnsi" w:cstheme="majorHAnsi"/>
          <w:b/>
          <w:bCs/>
        </w:rPr>
      </w:pPr>
      <w:bookmarkStart w:id="0" w:name="_Hlk108186380"/>
      <w:r w:rsidRPr="0054665E">
        <w:rPr>
          <w:rFonts w:asciiTheme="majorHAnsi" w:hAnsiTheme="majorHAnsi" w:cstheme="majorHAnsi"/>
          <w:b/>
          <w:bCs/>
        </w:rPr>
        <w:t>Wenn die dringenden Themen unserer Zeit wie Energieunabhängigkeit und Klimawandel jetzt angegangen werden, so bedeutet das eine hervorragende Auftragslage für Elektroinstallateure und Planer. Energieeffiziente Lösungen zur Beleuchtung gibt es bereits lange. Nun ist die Zeit, sie schnell umzusetzen. Äußerst stabil, noch komfortabler und benutzerfreundlicher gestaltet, dazu flexibel integrierbar, wird die Neuauflage von B.E.G. DALI-LINK besonders begeistern.</w:t>
      </w:r>
    </w:p>
    <w:p w14:paraId="57DBB384" w14:textId="77777777" w:rsidR="0054665E" w:rsidRPr="0054665E" w:rsidRDefault="0054665E" w:rsidP="0054665E">
      <w:pPr>
        <w:spacing w:line="276" w:lineRule="auto"/>
        <w:rPr>
          <w:rFonts w:asciiTheme="majorHAnsi" w:hAnsiTheme="majorHAnsi" w:cstheme="majorHAnsi"/>
          <w:b/>
          <w:bCs/>
        </w:rPr>
      </w:pPr>
      <w:r w:rsidRPr="0054665E">
        <w:rPr>
          <w:rFonts w:asciiTheme="majorHAnsi" w:hAnsiTheme="majorHAnsi" w:cstheme="majorHAnsi"/>
          <w:b/>
          <w:bCs/>
          <w:noProof/>
        </w:rPr>
        <w:drawing>
          <wp:inline distT="0" distB="0" distL="0" distR="0" wp14:anchorId="122EBED5" wp14:editId="265BB737">
            <wp:extent cx="5760720" cy="4623435"/>
            <wp:effectExtent l="0" t="0" r="0"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4623435"/>
                    </a:xfrm>
                    <a:prstGeom prst="rect">
                      <a:avLst/>
                    </a:prstGeom>
                  </pic:spPr>
                </pic:pic>
              </a:graphicData>
            </a:graphic>
          </wp:inline>
        </w:drawing>
      </w:r>
    </w:p>
    <w:p w14:paraId="2282A306" w14:textId="2669733E" w:rsidR="0054665E" w:rsidRPr="0054665E" w:rsidRDefault="0054665E" w:rsidP="0054665E">
      <w:pPr>
        <w:spacing w:line="276" w:lineRule="auto"/>
        <w:rPr>
          <w:rFonts w:asciiTheme="majorHAnsi" w:hAnsiTheme="majorHAnsi" w:cstheme="majorHAnsi"/>
          <w:i/>
          <w:iCs/>
        </w:rPr>
      </w:pPr>
      <w:r w:rsidRPr="0054665E">
        <w:rPr>
          <w:rFonts w:asciiTheme="majorHAnsi" w:hAnsiTheme="majorHAnsi" w:cstheme="majorHAnsi"/>
          <w:i/>
          <w:iCs/>
        </w:rPr>
        <w:t>Foto: © B.E.G. Brück Electronic GmbH</w:t>
      </w:r>
      <w:r w:rsidRPr="0054665E">
        <w:rPr>
          <w:rFonts w:asciiTheme="majorHAnsi" w:hAnsiTheme="majorHAnsi" w:cstheme="majorHAnsi"/>
          <w:i/>
          <w:iCs/>
        </w:rPr>
        <w:br/>
        <w:t xml:space="preserve">Passend zum Raumdesign sind unsere B.E.G. Melder in Weiß, Verkehrsweiß, Anthrazit und Schwarz erhältlich.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191"/>
        <w:gridCol w:w="2881"/>
      </w:tblGrid>
      <w:tr w:rsidR="0054665E" w:rsidRPr="0054665E" w14:paraId="391C9B83" w14:textId="77777777" w:rsidTr="0054665E">
        <w:tc>
          <w:tcPr>
            <w:tcW w:w="6191" w:type="dxa"/>
          </w:tcPr>
          <w:p w14:paraId="08B4EF61"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lastRenderedPageBreak/>
              <w:t xml:space="preserve">Alleine durch Präsenzmelder und die Integration des Bussystems DALI lassen sich bis zu 80% des Energieverbrauchs für Beleuchtung reduzieren. Für Kunden lohnt sich eine Investition auf jeden Fall, denn neben der Reduktion von Energiekosten kann die Steuerung über DALI gleichzeitig die Lebensdauer der LED-Leuchten verlängern. Die Kosten für die Einrichtung amortisieren sich somit schnell. Das Bussystem DALI läuft dann zuverlässig, robust und störungsfrei. </w:t>
            </w:r>
          </w:p>
          <w:p w14:paraId="205019AF" w14:textId="77777777" w:rsidR="0054665E" w:rsidRPr="0054665E" w:rsidRDefault="0054665E" w:rsidP="00095B98">
            <w:pPr>
              <w:spacing w:line="276" w:lineRule="auto"/>
              <w:rPr>
                <w:rFonts w:asciiTheme="majorHAnsi" w:hAnsiTheme="majorHAnsi" w:cstheme="majorHAnsi"/>
                <w:b/>
                <w:bCs/>
              </w:rPr>
            </w:pPr>
            <w:r w:rsidRPr="0054665E">
              <w:rPr>
                <w:rFonts w:asciiTheme="majorHAnsi" w:hAnsiTheme="majorHAnsi" w:cstheme="majorHAnsi"/>
              </w:rPr>
              <w:t xml:space="preserve">DALI hebt die Beleuchtung auf ein höheres, äußerst komfortables Wohlfühllevel. Das beginnt schon beim Einschalten, wenn die Leuchten eines Raums über einen Softstart gleichzeitig augenschonend hochdimmen. Durch individuelles Dimmen kann im Raum schnell die gewünschte Lichtatmosphäre hergestellt werden. Eine einstellbare Überblendungszeit sorgt auch hier für sanfte Übergänge. Werden mehrere Geräte in Gruppen zusammengefasst, erlaubt die digitale Natur von </w:t>
            </w:r>
            <w:proofErr w:type="gramStart"/>
            <w:r w:rsidRPr="0054665E">
              <w:rPr>
                <w:rFonts w:asciiTheme="majorHAnsi" w:hAnsiTheme="majorHAnsi" w:cstheme="majorHAnsi"/>
              </w:rPr>
              <w:t>DALI Veränderungen</w:t>
            </w:r>
            <w:proofErr w:type="gramEnd"/>
            <w:r w:rsidRPr="0054665E">
              <w:rPr>
                <w:rFonts w:asciiTheme="majorHAnsi" w:hAnsiTheme="majorHAnsi" w:cstheme="majorHAnsi"/>
              </w:rPr>
              <w:t xml:space="preserve"> über eine Software. Die Verkabelung kann unberührt bleiben. </w:t>
            </w:r>
          </w:p>
          <w:p w14:paraId="3BF5FFF4"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B.E.G. DALI-LINK ermöglicht die einfache Integration in Gebäude. Gleich mehrere Räume werden systematisch ausgestattet (modulare Multiraumlösung). Es gibt zwei Arten des Betriebs. Über Bluetooth kann DALI-LINK als Insellösung aufgesetzt werden. In einem KNX-gesteuerten Gebäude kann das speziell für die Beleuchtungssteuerung ausgerichtete System aber auch mit KNX verbunden werden. Melder müssen so nicht mehr über den KNX-Bus laufen. Sie werden direkt an den DALI-Bus angeschlossen. Wo es um die Beleuchtungssteuerung geht, können kostengünstigere DALI-Multisensoren eingesetzt werden. So entfallen der hohe Installationsaufwand und die Kosten für zusätzliche KNX-Kabel.</w:t>
            </w:r>
          </w:p>
          <w:p w14:paraId="67690203"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noProof/>
              </w:rPr>
              <w:lastRenderedPageBreak/>
              <w:drawing>
                <wp:inline distT="0" distB="0" distL="0" distR="0" wp14:anchorId="2790778C" wp14:editId="6C470308">
                  <wp:extent cx="3778773" cy="2514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9986" cy="2522061"/>
                          </a:xfrm>
                          <a:prstGeom prst="rect">
                            <a:avLst/>
                          </a:prstGeom>
                        </pic:spPr>
                      </pic:pic>
                    </a:graphicData>
                  </a:graphic>
                </wp:inline>
              </w:drawing>
            </w:r>
          </w:p>
          <w:p w14:paraId="427F2D24" w14:textId="34238614" w:rsidR="0054665E" w:rsidRPr="0054665E" w:rsidRDefault="0054665E" w:rsidP="00095B98">
            <w:pPr>
              <w:spacing w:line="276" w:lineRule="auto"/>
              <w:rPr>
                <w:rFonts w:asciiTheme="majorHAnsi" w:hAnsiTheme="majorHAnsi" w:cstheme="majorHAnsi"/>
                <w:i/>
                <w:iCs/>
              </w:rPr>
            </w:pPr>
            <w:r w:rsidRPr="0054665E">
              <w:rPr>
                <w:rFonts w:asciiTheme="majorHAnsi" w:hAnsiTheme="majorHAnsi" w:cstheme="majorHAnsi"/>
                <w:i/>
                <w:iCs/>
              </w:rPr>
              <w:t xml:space="preserve">Foto: </w:t>
            </w:r>
            <w:r>
              <w:rPr>
                <w:rFonts w:asciiTheme="majorHAnsi" w:hAnsiTheme="majorHAnsi" w:cstheme="majorHAnsi"/>
                <w:i/>
                <w:iCs/>
              </w:rPr>
              <w:t xml:space="preserve">© </w:t>
            </w:r>
            <w:r w:rsidRPr="0054665E">
              <w:rPr>
                <w:rFonts w:asciiTheme="majorHAnsi" w:hAnsiTheme="majorHAnsi" w:cstheme="majorHAnsi"/>
                <w:i/>
                <w:iCs/>
              </w:rPr>
              <w:t>B.E.G. Brück Electronic GmbH,</w:t>
            </w:r>
            <w:r w:rsidRPr="0054665E">
              <w:rPr>
                <w:rFonts w:asciiTheme="majorHAnsi" w:hAnsiTheme="majorHAnsi" w:cstheme="majorHAnsi"/>
                <w:i/>
                <w:iCs/>
              </w:rPr>
              <w:br/>
              <w:t>Die DALI-LINK App ermöglicht ein einfaches, schnelles Parametrieren.</w:t>
            </w:r>
          </w:p>
          <w:p w14:paraId="23F3A82E"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Die DALI-LINK App wurde noch benutzerfreundlicher und um zahlreiche Funktionalitäten erweitert. So können Geräteparameter in einer Datenbank hinterlegt werden. Diese kann über E-Mail, einen Messenger oder die eigene Cloud geteilt und gesichert werden. Das ist hilfreich, wenn Projektinformationen innerhalb des Teams ausgetauscht werden sollen, und minimiert den Aufwand beim Tausch von Endgeräten wie Smartphone, Tablet oder dem BLE-Taster-Modul. Alle Daten bleiben erhalten und einsehbar.</w:t>
            </w:r>
          </w:p>
          <w:p w14:paraId="5587A7FA"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 xml:space="preserve">Optimales Lernen wird durch optimale Lichtbedingungen gefördert. Wer Schulen aus- oder nachrüstet, kann von der neuen Logik-Funktion, der „Klassenraumfunktion“, profitieren. Unterschiedliche Lichtverhältnisse an Arbeitsplätzen einer Fensterfrontseite, der Raummitte und der Wandseite werden leicht ausgeglichen und das bei bis zu drei Klassenräumen pro Linie gleichzeitig. Je Raum stehen dann nicht nur bis zu drei Haupt-Regelgruppen im Offset-Regelungsverfahren zur Verfügung. Auch die Tafelbeleuchtung ist einfach umsetzbar und verknüpfbar mit der Haupt-Regelgruppe. </w:t>
            </w:r>
          </w:p>
          <w:p w14:paraId="504415A9"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 xml:space="preserve">Indem der Dimm-Algorithmus verbessert wurde, wird das Dimmen von Leuchten als äußerst stilvoll und komfortabel empfunden. Gleichzeitig wird die Busauslastung um ca. 60% reduziert. </w:t>
            </w:r>
          </w:p>
          <w:p w14:paraId="5EFFC730"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lastRenderedPageBreak/>
              <w:t xml:space="preserve">Die tageslichtabhängige Steuerung wird durch eine einstellbare Regeldynamik vereinfacht, die eine Untersteuerung bedingt durch ungünstige Lichtreflexionen nahezu ausschließt. </w:t>
            </w:r>
          </w:p>
          <w:p w14:paraId="158971A1"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 xml:space="preserve">DALI-LINK erhöht die Qualität der Beleuchtung und verringert gleichzeitig Kosten- und Arbeitsaufwand. Das macht DALI-LINK attraktiv für alle, die eine stabile, professionelle und dennoch einfache Lösung suchen. </w:t>
            </w:r>
          </w:p>
          <w:p w14:paraId="54D8E443" w14:textId="29CF114E"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Für weitere Informationen oder Unterstützung bei der Entwicklung von Lichtsteuerungs- und Lichtmanagementlösungen in DALI und/oder KNX wenden Sie sich bitte an Ihren B.E.G. Ansprechpartner oder besuchen Sie unsere Website</w:t>
            </w:r>
            <w:r w:rsidR="00825CDC">
              <w:rPr>
                <w:rFonts w:asciiTheme="majorHAnsi" w:hAnsiTheme="majorHAnsi" w:cstheme="majorHAnsi"/>
              </w:rPr>
              <w:t>.</w:t>
            </w:r>
          </w:p>
        </w:tc>
        <w:tc>
          <w:tcPr>
            <w:tcW w:w="2881" w:type="dxa"/>
          </w:tcPr>
          <w:p w14:paraId="1FB9AFB7" w14:textId="77777777" w:rsidR="0054665E" w:rsidRPr="0054665E" w:rsidRDefault="0054665E" w:rsidP="00095B98">
            <w:pPr>
              <w:spacing w:line="276" w:lineRule="auto"/>
              <w:rPr>
                <w:rFonts w:asciiTheme="majorHAnsi" w:hAnsiTheme="majorHAnsi" w:cstheme="majorHAnsi"/>
                <w:b/>
                <w:bCs/>
              </w:rPr>
            </w:pPr>
          </w:p>
          <w:p w14:paraId="3196BCFF" w14:textId="77777777" w:rsidR="0054665E" w:rsidRPr="0054665E" w:rsidRDefault="0054665E" w:rsidP="00095B98">
            <w:pPr>
              <w:spacing w:line="276" w:lineRule="auto"/>
              <w:rPr>
                <w:rFonts w:asciiTheme="majorHAnsi" w:hAnsiTheme="majorHAnsi" w:cstheme="majorHAnsi"/>
                <w:b/>
                <w:bCs/>
              </w:rPr>
            </w:pPr>
          </w:p>
          <w:p w14:paraId="7EDD6158" w14:textId="77777777" w:rsidR="0054665E" w:rsidRPr="0054665E" w:rsidRDefault="0054665E" w:rsidP="00095B98">
            <w:pPr>
              <w:spacing w:line="276" w:lineRule="auto"/>
              <w:rPr>
                <w:rFonts w:asciiTheme="majorHAnsi" w:hAnsiTheme="majorHAnsi" w:cstheme="majorHAnsi"/>
                <w:b/>
                <w:bCs/>
              </w:rPr>
            </w:pPr>
          </w:p>
          <w:p w14:paraId="0DEC5D97" w14:textId="77777777" w:rsidR="0054665E" w:rsidRPr="0054665E" w:rsidRDefault="0054665E" w:rsidP="00095B98">
            <w:pPr>
              <w:spacing w:line="276" w:lineRule="auto"/>
              <w:rPr>
                <w:rFonts w:asciiTheme="majorHAnsi" w:hAnsiTheme="majorHAnsi" w:cstheme="majorHAnsi"/>
                <w:b/>
                <w:bCs/>
              </w:rPr>
            </w:pPr>
          </w:p>
          <w:p w14:paraId="3FCF1DA2" w14:textId="77777777" w:rsidR="0054665E" w:rsidRPr="0054665E" w:rsidRDefault="0054665E" w:rsidP="00095B98">
            <w:pPr>
              <w:spacing w:line="276" w:lineRule="auto"/>
              <w:rPr>
                <w:rFonts w:asciiTheme="majorHAnsi" w:hAnsiTheme="majorHAnsi" w:cstheme="majorHAnsi"/>
                <w:b/>
                <w:bCs/>
              </w:rPr>
            </w:pPr>
            <w:r w:rsidRPr="0054665E">
              <w:rPr>
                <w:rFonts w:asciiTheme="majorHAnsi" w:hAnsiTheme="majorHAnsi" w:cstheme="majorHAnsi"/>
                <w:b/>
                <w:bCs/>
                <w:noProof/>
              </w:rPr>
              <w:drawing>
                <wp:inline distT="0" distB="0" distL="0" distR="0" wp14:anchorId="7B4C4D8D" wp14:editId="39481FF8">
                  <wp:extent cx="1355090" cy="10223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2" cstate="print">
                            <a:extLst>
                              <a:ext uri="{28A0092B-C50C-407E-A947-70E740481C1C}">
                                <a14:useLocalDpi xmlns:a14="http://schemas.microsoft.com/office/drawing/2010/main" val="0"/>
                              </a:ext>
                            </a:extLst>
                          </a:blip>
                          <a:srcRect t="15464" b="9091"/>
                          <a:stretch/>
                        </pic:blipFill>
                        <pic:spPr bwMode="auto">
                          <a:xfrm>
                            <a:off x="0" y="0"/>
                            <a:ext cx="1361239" cy="1026989"/>
                          </a:xfrm>
                          <a:prstGeom prst="rect">
                            <a:avLst/>
                          </a:prstGeom>
                          <a:ln>
                            <a:noFill/>
                          </a:ln>
                          <a:extLst>
                            <a:ext uri="{53640926-AAD7-44D8-BBD7-CCE9431645EC}">
                              <a14:shadowObscured xmlns:a14="http://schemas.microsoft.com/office/drawing/2010/main"/>
                            </a:ext>
                          </a:extLst>
                        </pic:spPr>
                      </pic:pic>
                    </a:graphicData>
                  </a:graphic>
                </wp:inline>
              </w:drawing>
            </w:r>
          </w:p>
          <w:p w14:paraId="07B0970A" w14:textId="082DC31F" w:rsidR="0054665E" w:rsidRPr="0054665E" w:rsidRDefault="0054665E" w:rsidP="00095B98">
            <w:pPr>
              <w:pStyle w:val="berschrift1"/>
              <w:rPr>
                <w:rFonts w:asciiTheme="majorHAnsi" w:hAnsiTheme="majorHAnsi" w:cstheme="majorHAnsi"/>
                <w:b w:val="0"/>
                <w:bCs w:val="0"/>
                <w:i/>
                <w:iCs/>
                <w:sz w:val="22"/>
                <w:szCs w:val="22"/>
              </w:rPr>
            </w:pPr>
            <w:r w:rsidRPr="0054665E">
              <w:rPr>
                <w:rFonts w:asciiTheme="majorHAnsi" w:hAnsiTheme="majorHAnsi" w:cstheme="majorHAnsi"/>
                <w:b w:val="0"/>
                <w:bCs w:val="0"/>
                <w:i/>
                <w:iCs/>
                <w:sz w:val="22"/>
                <w:szCs w:val="22"/>
              </w:rPr>
              <w:t xml:space="preserve">Foto: </w:t>
            </w:r>
            <w:r>
              <w:rPr>
                <w:rFonts w:asciiTheme="majorHAnsi" w:hAnsiTheme="majorHAnsi" w:cstheme="majorHAnsi"/>
                <w:b w:val="0"/>
                <w:bCs w:val="0"/>
                <w:i/>
                <w:iCs/>
                <w:sz w:val="22"/>
                <w:szCs w:val="22"/>
              </w:rPr>
              <w:t xml:space="preserve">© </w:t>
            </w:r>
            <w:r w:rsidRPr="0054665E">
              <w:rPr>
                <w:rFonts w:asciiTheme="majorHAnsi" w:hAnsiTheme="majorHAnsi" w:cstheme="majorHAnsi"/>
                <w:b w:val="0"/>
                <w:bCs w:val="0"/>
                <w:i/>
                <w:iCs/>
                <w:sz w:val="22"/>
                <w:szCs w:val="22"/>
              </w:rPr>
              <w:t>B.E.G. Brück Electronic GmbH, Das neue DALI/KNX-Gateway DA64-230/KNX REG, Art.-Nr. 93302</w:t>
            </w:r>
          </w:p>
          <w:p w14:paraId="1C9EFD2D" w14:textId="77777777" w:rsidR="0054665E" w:rsidRPr="0054665E" w:rsidRDefault="0054665E" w:rsidP="00095B98">
            <w:pPr>
              <w:spacing w:line="276" w:lineRule="auto"/>
              <w:rPr>
                <w:rFonts w:asciiTheme="majorHAnsi" w:hAnsiTheme="majorHAnsi" w:cstheme="majorHAnsi"/>
              </w:rPr>
            </w:pPr>
          </w:p>
          <w:p w14:paraId="1A637713" w14:textId="77777777" w:rsidR="0054665E" w:rsidRPr="0054665E" w:rsidRDefault="0054665E" w:rsidP="00095B98">
            <w:pPr>
              <w:spacing w:line="276" w:lineRule="auto"/>
              <w:rPr>
                <w:rFonts w:asciiTheme="majorHAnsi" w:hAnsiTheme="majorHAnsi" w:cstheme="majorHAnsi"/>
                <w:b/>
                <w:bCs/>
              </w:rPr>
            </w:pPr>
            <w:r w:rsidRPr="0054665E">
              <w:rPr>
                <w:rFonts w:asciiTheme="majorHAnsi" w:hAnsiTheme="majorHAnsi" w:cstheme="majorHAnsi"/>
                <w:b/>
                <w:bCs/>
              </w:rPr>
              <w:t>DALI/KNX-Gateway reduziert Kosten und vereinfacht die Installation</w:t>
            </w:r>
          </w:p>
          <w:p w14:paraId="74DBD191"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 xml:space="preserve">B.E.G. hat ein neues DALI/KNX-Gateway auf den Markt gebracht, das neben Leuchten auch Bewegungs- und Präsenzmelder sowie Taster in den DALI-Bus integrieren kann. Diese neue Lösung reduziert den Installationsaufwand. Melder müssen nicht mehr über den KNX-Bus laufen, sondern können direkt an den DALI-Bus angeschlossen werden. Dadurch entfallen zusätzliche KNX-Kabel. </w:t>
            </w:r>
          </w:p>
          <w:p w14:paraId="30039453" w14:textId="77777777" w:rsidR="0054665E" w:rsidRPr="0054665E" w:rsidRDefault="0054665E" w:rsidP="00095B98">
            <w:pPr>
              <w:spacing w:line="276" w:lineRule="auto"/>
              <w:rPr>
                <w:rFonts w:asciiTheme="majorHAnsi" w:hAnsiTheme="majorHAnsi" w:cstheme="majorHAnsi"/>
              </w:rPr>
            </w:pPr>
          </w:p>
          <w:p w14:paraId="145DF651" w14:textId="77777777" w:rsidR="0054665E" w:rsidRPr="0054665E" w:rsidRDefault="0054665E" w:rsidP="00095B98">
            <w:pPr>
              <w:spacing w:line="276" w:lineRule="auto"/>
              <w:rPr>
                <w:rFonts w:asciiTheme="majorHAnsi" w:hAnsiTheme="majorHAnsi" w:cstheme="majorHAnsi"/>
              </w:rPr>
            </w:pPr>
          </w:p>
          <w:p w14:paraId="73BF43CF" w14:textId="77777777" w:rsidR="0054665E" w:rsidRPr="0054665E" w:rsidRDefault="0054665E" w:rsidP="00095B98">
            <w:pPr>
              <w:spacing w:line="276" w:lineRule="auto"/>
              <w:rPr>
                <w:rFonts w:asciiTheme="majorHAnsi" w:hAnsiTheme="majorHAnsi" w:cstheme="majorHAnsi"/>
              </w:rPr>
            </w:pPr>
          </w:p>
          <w:p w14:paraId="0B9959DC" w14:textId="77777777" w:rsidR="0054665E" w:rsidRPr="0054665E" w:rsidRDefault="0054665E" w:rsidP="00095B98">
            <w:pPr>
              <w:spacing w:line="276" w:lineRule="auto"/>
              <w:rPr>
                <w:rFonts w:asciiTheme="majorHAnsi" w:hAnsiTheme="majorHAnsi" w:cstheme="majorHAnsi"/>
              </w:rPr>
            </w:pPr>
          </w:p>
          <w:p w14:paraId="1518F191" w14:textId="77777777" w:rsidR="0054665E" w:rsidRPr="0054665E" w:rsidRDefault="0054665E" w:rsidP="00095B98">
            <w:pPr>
              <w:spacing w:line="276" w:lineRule="auto"/>
              <w:rPr>
                <w:rFonts w:asciiTheme="majorHAnsi" w:hAnsiTheme="majorHAnsi" w:cstheme="majorHAnsi"/>
              </w:rPr>
            </w:pPr>
          </w:p>
          <w:p w14:paraId="78F7F454" w14:textId="77777777" w:rsidR="0054665E" w:rsidRPr="0054665E" w:rsidRDefault="0054665E" w:rsidP="00095B98">
            <w:pPr>
              <w:spacing w:line="276" w:lineRule="auto"/>
              <w:rPr>
                <w:rFonts w:asciiTheme="majorHAnsi" w:hAnsiTheme="majorHAnsi" w:cstheme="majorHAnsi"/>
              </w:rPr>
            </w:pPr>
          </w:p>
          <w:p w14:paraId="5B65449B" w14:textId="77777777" w:rsidR="0054665E" w:rsidRPr="0054665E" w:rsidRDefault="0054665E" w:rsidP="00095B98">
            <w:pPr>
              <w:spacing w:line="276" w:lineRule="auto"/>
              <w:rPr>
                <w:rFonts w:asciiTheme="majorHAnsi" w:hAnsiTheme="majorHAnsi" w:cstheme="majorHAnsi"/>
              </w:rPr>
            </w:pPr>
          </w:p>
          <w:p w14:paraId="5705E585"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noProof/>
              </w:rPr>
              <w:drawing>
                <wp:inline distT="0" distB="0" distL="0" distR="0" wp14:anchorId="1EFF4FC7" wp14:editId="43A4413C">
                  <wp:extent cx="1761260" cy="10287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69103" cy="1033281"/>
                          </a:xfrm>
                          <a:prstGeom prst="rect">
                            <a:avLst/>
                          </a:prstGeom>
                        </pic:spPr>
                      </pic:pic>
                    </a:graphicData>
                  </a:graphic>
                </wp:inline>
              </w:drawing>
            </w:r>
          </w:p>
          <w:p w14:paraId="1842F8C9" w14:textId="69741B2D" w:rsidR="0054665E" w:rsidRPr="0054665E" w:rsidRDefault="0054665E" w:rsidP="00095B98">
            <w:pPr>
              <w:pStyle w:val="berschrift1"/>
              <w:rPr>
                <w:rFonts w:asciiTheme="majorHAnsi" w:hAnsiTheme="majorHAnsi" w:cstheme="majorHAnsi"/>
                <w:b w:val="0"/>
                <w:bCs w:val="0"/>
                <w:i/>
                <w:iCs/>
                <w:sz w:val="22"/>
                <w:szCs w:val="22"/>
              </w:rPr>
            </w:pPr>
            <w:r w:rsidRPr="0054665E">
              <w:rPr>
                <w:rFonts w:asciiTheme="majorHAnsi" w:hAnsiTheme="majorHAnsi" w:cstheme="majorHAnsi"/>
                <w:b w:val="0"/>
                <w:bCs w:val="0"/>
                <w:i/>
                <w:iCs/>
                <w:sz w:val="22"/>
                <w:szCs w:val="22"/>
              </w:rPr>
              <w:t xml:space="preserve">Foto: </w:t>
            </w:r>
            <w:r>
              <w:rPr>
                <w:rFonts w:asciiTheme="majorHAnsi" w:hAnsiTheme="majorHAnsi" w:cstheme="majorHAnsi"/>
                <w:b w:val="0"/>
                <w:bCs w:val="0"/>
                <w:i/>
                <w:iCs/>
                <w:sz w:val="22"/>
                <w:szCs w:val="22"/>
              </w:rPr>
              <w:t xml:space="preserve">© </w:t>
            </w:r>
            <w:r w:rsidRPr="0054665E">
              <w:rPr>
                <w:rFonts w:asciiTheme="majorHAnsi" w:hAnsiTheme="majorHAnsi" w:cstheme="majorHAnsi"/>
                <w:b w:val="0"/>
                <w:bCs w:val="0"/>
                <w:i/>
                <w:iCs/>
                <w:sz w:val="22"/>
                <w:szCs w:val="22"/>
              </w:rPr>
              <w:t>B.E.G. Brück Electronic GmbH, PD11-DALI-LINK-FLAT, Art.-Nr. 93068 und PD4N-DALI-LINK, Art.-Nr. 93377</w:t>
            </w:r>
          </w:p>
          <w:p w14:paraId="5C4EE5D9" w14:textId="77777777" w:rsidR="0054665E" w:rsidRPr="0054665E" w:rsidRDefault="0054665E" w:rsidP="00095B98">
            <w:pPr>
              <w:pStyle w:val="berschrift1"/>
              <w:rPr>
                <w:rFonts w:asciiTheme="majorHAnsi" w:hAnsiTheme="majorHAnsi" w:cstheme="majorHAnsi"/>
                <w:b w:val="0"/>
                <w:bCs w:val="0"/>
                <w:sz w:val="22"/>
                <w:szCs w:val="22"/>
              </w:rPr>
            </w:pPr>
          </w:p>
          <w:p w14:paraId="59D4A3D3" w14:textId="77777777" w:rsidR="0054665E" w:rsidRPr="0054665E" w:rsidRDefault="0054665E" w:rsidP="00095B98">
            <w:pPr>
              <w:spacing w:line="276" w:lineRule="auto"/>
              <w:rPr>
                <w:rFonts w:asciiTheme="majorHAnsi" w:hAnsiTheme="majorHAnsi" w:cstheme="majorHAnsi"/>
                <w:b/>
                <w:bCs/>
              </w:rPr>
            </w:pPr>
            <w:r w:rsidRPr="0054665E">
              <w:rPr>
                <w:rFonts w:asciiTheme="majorHAnsi" w:hAnsiTheme="majorHAnsi" w:cstheme="majorHAnsi"/>
                <w:b/>
                <w:bCs/>
              </w:rPr>
              <w:t>Für jede Situation der passende B.E.G. Melder</w:t>
            </w:r>
          </w:p>
          <w:p w14:paraId="4D9DC85E" w14:textId="77777777" w:rsidR="0054665E" w:rsidRPr="0054665E" w:rsidRDefault="0054665E" w:rsidP="00095B98">
            <w:pPr>
              <w:spacing w:line="276" w:lineRule="auto"/>
              <w:rPr>
                <w:rFonts w:asciiTheme="majorHAnsi" w:hAnsiTheme="majorHAnsi" w:cstheme="majorHAnsi"/>
              </w:rPr>
            </w:pPr>
            <w:r w:rsidRPr="0054665E">
              <w:rPr>
                <w:rFonts w:asciiTheme="majorHAnsi" w:hAnsiTheme="majorHAnsi" w:cstheme="majorHAnsi"/>
              </w:rPr>
              <w:t xml:space="preserve">Nahezu unsichtbar integriert sich der ultraflache PD11 in jede Decke und garantiert dennoch 9 m Reichweite. Schwierige Lichtsituationen meistert der PD4N durch innen- und außenliegende Lichtsensoren. </w:t>
            </w:r>
          </w:p>
        </w:tc>
      </w:tr>
      <w:bookmarkEnd w:id="0"/>
    </w:tbl>
    <w:p w14:paraId="3DA38E5A" w14:textId="77777777" w:rsidR="009F40AD" w:rsidRPr="009F40AD" w:rsidRDefault="009F40AD" w:rsidP="009F40AD">
      <w:pPr>
        <w:pStyle w:val="EinfAbs"/>
        <w:rPr>
          <w:rFonts w:asciiTheme="majorHAnsi" w:hAnsiTheme="majorHAnsi" w:cstheme="majorHAnsi"/>
          <w:sz w:val="22"/>
          <w:szCs w:val="22"/>
        </w:rPr>
      </w:pPr>
    </w:p>
    <w:p w14:paraId="1AE7BF09" w14:textId="77777777" w:rsidR="00825CDC" w:rsidRDefault="00825CDC" w:rsidP="00825CDC">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47988C5E" w14:textId="77777777" w:rsidR="00825CDC" w:rsidRDefault="00825CDC" w:rsidP="00825CDC">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424DD2A8" w14:textId="77777777" w:rsidR="00825CDC" w:rsidRDefault="00825CDC" w:rsidP="00825CDC">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3E974F13" w14:textId="77777777" w:rsidR="00825CDC" w:rsidRDefault="00825CDC" w:rsidP="00825CDC">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4DC14FC9" w14:textId="77777777" w:rsidR="00825CDC" w:rsidRDefault="00825CDC" w:rsidP="00825CDC">
      <w:pPr>
        <w:pStyle w:val="Flietext"/>
        <w:spacing w:line="276" w:lineRule="auto"/>
        <w:rPr>
          <w:rFonts w:asciiTheme="majorHAnsi" w:hAnsiTheme="majorHAnsi" w:cstheme="majorHAnsi"/>
          <w:sz w:val="22"/>
          <w:szCs w:val="22"/>
        </w:rPr>
      </w:pPr>
      <w:r>
        <w:rPr>
          <w:rFonts w:asciiTheme="majorHAnsi" w:hAnsiTheme="majorHAnsi" w:cstheme="majorHAnsi"/>
          <w:sz w:val="22"/>
          <w:szCs w:val="22"/>
        </w:rPr>
        <w:t>www.beg-luxomat.com</w:t>
      </w:r>
    </w:p>
    <w:p w14:paraId="4654715C" w14:textId="2D7A0763" w:rsidR="00680E16" w:rsidRPr="0018095A" w:rsidRDefault="00680E16" w:rsidP="0018095A">
      <w:pPr>
        <w:pStyle w:val="EinfAbs"/>
        <w:rPr>
          <w:rFonts w:asciiTheme="majorHAnsi" w:hAnsiTheme="majorHAnsi" w:cstheme="majorHAnsi"/>
          <w:sz w:val="22"/>
          <w:szCs w:val="22"/>
        </w:rPr>
      </w:pPr>
    </w:p>
    <w:sectPr w:rsidR="00680E16" w:rsidRPr="0018095A">
      <w:headerReference w:type="default" r:id="rId14"/>
      <w:footerReference w:type="default" r:id="rId15"/>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roman"/>
    <w:notTrueType/>
    <w:pitch w:val="default"/>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7796"/>
    <w:rsid w:val="00055BEA"/>
    <w:rsid w:val="000B02D7"/>
    <w:rsid w:val="000F3CE0"/>
    <w:rsid w:val="00104BF8"/>
    <w:rsid w:val="00143E48"/>
    <w:rsid w:val="00146B6A"/>
    <w:rsid w:val="001655C9"/>
    <w:rsid w:val="001739E3"/>
    <w:rsid w:val="0018095A"/>
    <w:rsid w:val="001B1AEB"/>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4665E"/>
    <w:rsid w:val="0057655C"/>
    <w:rsid w:val="00576ECB"/>
    <w:rsid w:val="005F3561"/>
    <w:rsid w:val="00626182"/>
    <w:rsid w:val="00656202"/>
    <w:rsid w:val="00661178"/>
    <w:rsid w:val="006658BC"/>
    <w:rsid w:val="00680E16"/>
    <w:rsid w:val="006B1365"/>
    <w:rsid w:val="006D61A0"/>
    <w:rsid w:val="007054A3"/>
    <w:rsid w:val="007077BC"/>
    <w:rsid w:val="007443F0"/>
    <w:rsid w:val="007A240C"/>
    <w:rsid w:val="007C2D08"/>
    <w:rsid w:val="0080657D"/>
    <w:rsid w:val="00825CDC"/>
    <w:rsid w:val="008413B2"/>
    <w:rsid w:val="00862690"/>
    <w:rsid w:val="00865124"/>
    <w:rsid w:val="00880679"/>
    <w:rsid w:val="00880D23"/>
    <w:rsid w:val="00895438"/>
    <w:rsid w:val="008A7F86"/>
    <w:rsid w:val="008C3877"/>
    <w:rsid w:val="009162B1"/>
    <w:rsid w:val="00927974"/>
    <w:rsid w:val="009422CA"/>
    <w:rsid w:val="009441D4"/>
    <w:rsid w:val="009A4DAC"/>
    <w:rsid w:val="009A65FB"/>
    <w:rsid w:val="009D79D4"/>
    <w:rsid w:val="009E5C5B"/>
    <w:rsid w:val="009F40AD"/>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Flietext">
    <w:name w:val="Fließtext"/>
    <w:basedOn w:val="Standard"/>
    <w:uiPriority w:val="99"/>
    <w:rsid w:val="00825CDC"/>
    <w:pPr>
      <w:suppressAutoHyphens/>
      <w:autoSpaceDE w:val="0"/>
      <w:autoSpaceDN w:val="0"/>
      <w:adjustRightInd w:val="0"/>
      <w:spacing w:after="0" w:line="260" w:lineRule="atLeast"/>
      <w:jc w:val="both"/>
    </w:pPr>
    <w:rPr>
      <w:rFonts w:ascii="Glober Regular" w:eastAsiaTheme="minorHAnsi" w:hAnsi="Glober Regular" w:cs="Glober Regular"/>
      <w:color w:val="00000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556624276">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3.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B199B-C724-43CF-AF58-AEB2B907C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4597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3</cp:revision>
  <cp:lastPrinted>2022-09-20T12:40:00Z</cp:lastPrinted>
  <dcterms:created xsi:type="dcterms:W3CDTF">2023-12-01T14:24:00Z</dcterms:created>
  <dcterms:modified xsi:type="dcterms:W3CDTF">2023-12-01T15:20:00Z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